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ANDREAS SPEISS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andreasspeiss@gmail.com | (481) 516-2342 | Columbus, OH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Ohio State University,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.S.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Electrical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GPA: 3.8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Electrical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American Electric Power (AEP)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Columbus, OH                  May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Tested and calibrated protective relays using Doble equipment to keep all settings compliant with NERC standards.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substation engineers and field crews to diagnose relay and equipment problems, resolving most high-priority outages on the same day.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Entered relay settings and equipment data into Maximo, improving the accuracy of protection studies and coordination reviews.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Undergraduate Research Assistant,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Power Electronics Lab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Columbus, OH                         Jan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and tested a DC-DC buck converter for solar power applications, selecting switching settings to reduce energy loss and electrical noise.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Measured efficiency and thermal behavior of MOSFET and IGBT devices, reaching 85 percent efficiency at 5A output.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oscilloscope data using MATLAB to evaluate switching behavior, ripple, and filter performance.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Followed high-voltage safety procedures while working with circuits up to 400V, including grounding and current-limiting protections.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bottom w:color="000000" w:space="1" w:sz="6" w:val="single"/>
        </w:pBdr>
        <w:spacing w:line="252.00000000000003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Bluetooth-Controlled Automated Blinds,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Independent Project</w:t>
        <w:tab/>
        <w:tab/>
        <w:t xml:space="preserve">                     Jan 2024 - Apr 2024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Blackout window blinds raised and lowered by a rotating motor controlled by a mobile application.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Programmed Arduino (C++) to drive motors with Bluetooth and clock modules for wireless manual and routine control.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Developed companion Android app using MIT App inventor.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PCB-Based Analog Audio Frequency Detector,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University Project</w:t>
        <w:tab/>
        <w:tab/>
        <w:t xml:space="preserve">      Sep 2023 –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Analog circuit which drives red and green LEDs corresponding to the magnitude of low/high frequency signal content.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filter circuits in Multisim according to audio band specifications.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op-amp and RC filter circuits to separate audio content into high and low frequency bands.</w:t>
      </w:r>
    </w:p>
    <w:p w:rsidR="00000000" w:rsidDel="00000000" w:rsidP="00000000" w:rsidRDefault="00000000" w:rsidRPr="00000000" w14:paraId="00000021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Simple 8-Bit CPU,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University Project                                                                            May 2023 – Aug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 CPU in Quartus Prime using VHDL + schematic entry for datapath, control logic, decoder, more subsystems.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Implemented an 8-instruction ISA with 8-bit data bus, accumulator, and 32 bytes of memory.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Developed a custom assembly language and Excel-based assembler to encode and test programs.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Software: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C, C++, MATLAB, Excel, Java, Python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Hardware: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PCB Design (KiCAD), Circuit Simulation (Multisim), VHDL (Quartus Prime), Soldering, Oscilloscope, Fusion 360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v/CUt+Cs3Sb9L4mwmASZ1BJIQ==">CgMxLjA4AHIhMXREQmlldkt4V01GX3FkN09xTWx0LVF3TWtfdE9TMnBR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